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2023.01.20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23/1</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գրենական պիտույքների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a3"/>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23/1</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proofErr w:type="gramStart"/>
      <w:r w:rsidRPr="00857ECA">
        <w:rPr>
          <w:rFonts w:ascii="Calibri" w:hAnsi="Calibri" w:cs="Calibri"/>
          <w:i/>
          <w:sz w:val="20"/>
          <w:szCs w:val="20"/>
        </w:rPr>
        <w:t>ընթացակարգի</w:t>
      </w:r>
      <w:proofErr w:type="gramEnd"/>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2023.01.20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գրենական պիտույքների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գրենական պիտույքների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proofErr w:type="gramStart"/>
      <w:r w:rsidRPr="00857ECA">
        <w:rPr>
          <w:rFonts w:ascii="Calibri" w:hAnsi="Calibri" w:cs="Calibri"/>
          <w:b/>
          <w:sz w:val="20"/>
          <w:szCs w:val="22"/>
        </w:rPr>
        <w:t>ՄԱՍ</w:t>
      </w:r>
      <w:r w:rsidRPr="00857ECA">
        <w:rPr>
          <w:rFonts w:ascii="Calibri" w:hAnsi="Calibri" w:cs="Calibri"/>
          <w:b/>
          <w:sz w:val="20"/>
          <w:szCs w:val="22"/>
          <w:lang w:val="af-ZA"/>
        </w:rPr>
        <w:t xml:space="preserve">  I</w:t>
      </w:r>
      <w:proofErr w:type="gramEnd"/>
      <w:r w:rsidRPr="00857ECA">
        <w:rPr>
          <w:rFonts w:ascii="Calibri" w:hAnsi="Calibri" w:cs="Calibri"/>
          <w:b/>
          <w:sz w:val="20"/>
          <w:szCs w:val="22"/>
          <w:lang w:val="af-ZA"/>
        </w:rPr>
        <w:t>.</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proofErr w:type="gramStart"/>
      <w:r w:rsidRPr="00857ECA">
        <w:rPr>
          <w:rFonts w:ascii="Calibri" w:hAnsi="Calibri" w:cs="Calibri"/>
          <w:b/>
          <w:sz w:val="20"/>
        </w:rPr>
        <w:t>ՄԱՍ</w:t>
      </w:r>
      <w:r w:rsidRPr="00857ECA">
        <w:rPr>
          <w:rFonts w:ascii="Calibri" w:hAnsi="Calibri" w:cs="Calibri"/>
          <w:b/>
          <w:sz w:val="20"/>
          <w:lang w:val="af-ZA"/>
        </w:rPr>
        <w:t xml:space="preserve">  II</w:t>
      </w:r>
      <w:proofErr w:type="gramEnd"/>
      <w:r w:rsidRPr="00857ECA">
        <w:rPr>
          <w:rFonts w:ascii="Calibri" w:hAnsi="Calibri" w:cs="Calibri"/>
          <w:b/>
          <w:sz w:val="20"/>
          <w:lang w:val="af-ZA"/>
        </w:rPr>
        <w:t xml:space="preserve">.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proofErr w:type="gramStart"/>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proofErr w:type="gramEnd"/>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23/1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proofErr w:type="gramStart"/>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roofErr w:type="gramEnd"/>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գրենական պիտույքների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proofErr w:type="gramStart"/>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proofErr w:type="gramEnd"/>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18</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2156250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ֆորմատի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արագակար, թղթյա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45500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թելով, թղթյա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գիրք, մատյան, 70-200էջ, տողանի, սպիտակ էջերով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պոլիմերային թաղանթ, ֆայլ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մարկերներ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թղթի ամրակներ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թղթի ամրակներ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20-50 թերթի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մինչ― 20 թերթի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մեծ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փոքր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սոսնձամատիտ, գրասենյակային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սոսնձվածքով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8750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ուղղիչ գրիչներ 
                    </w:t>
              </w:r>
            </w:p>
          </w:tc>
        </w:tr>
      </w:tbl>
    </w:p>
    <w:p w:rsidR="»5453" w:rsidRPr="00443900" w:rsidRDefault="»5453" w:rsidP="»5453">
      <w:pPr>
        <w:pStyle w:val="aff"/>
        <w:ind w:left="2205" w:firstLine="627"/>
        <w:rPr>
          <w:rFonts w:ascii="Calibri" w:hAnsi="Calibri" w:cs="Calibri"/>
          <w:sz w:val="8"/>
          <w:lang w:val="af-ZA"/>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proofErr w:type="gramStart"/>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proofErr w:type="gramEnd"/>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23"/>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w:t>
      </w:r>
      <w:r w:rsidR="00BC34FD">
        <w:rPr>
          <w:rFonts w:ascii="Sylfaen" w:hAnsi="Sylfaen" w:cstheme="minorHAnsi"/>
          <w:szCs w:val="24"/>
          <w:lang w:val="hy-AM"/>
        </w:rPr>
        <w:t>ֆ</w:t>
      </w:r>
      <w:r w:rsidRPr="006D78AE">
        <w:rPr>
          <w:rFonts w:asciiTheme="minorHAnsi" w:hAnsiTheme="minorHAnsi" w:cstheme="minorHAnsi"/>
          <w:szCs w:val="24"/>
          <w:lang w:val="hy-AM"/>
        </w:rPr>
        <w:t>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lastRenderedPageBreak/>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2"/>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3"/>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396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429</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lastRenderedPageBreak/>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2023.02.03.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 xml:space="preserve">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w:t>
      </w:r>
      <w:r w:rsidR="00416BD1" w:rsidRPr="00416BD1">
        <w:rPr>
          <w:rFonts w:ascii="Calibri" w:hAnsi="Calibri" w:cs="Calibri"/>
          <w:szCs w:val="24"/>
          <w:lang w:val="hy-AM"/>
        </w:rPr>
        <w:lastRenderedPageBreak/>
        <w:t>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23"/>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proofErr w:type="gramStart"/>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proofErr w:type="gramEnd"/>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lastRenderedPageBreak/>
        <w:t>•</w:t>
      </w:r>
      <w:r w:rsidRPr="002833EF">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23"/>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23"/>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23"/>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23"/>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23"/>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a3"/>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lastRenderedPageBreak/>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
      </w:r>
      <w:r w:rsidR="003018F6" w:rsidRPr="00857ECA">
        <w:rPr>
          <w:rStyle w:val="af6"/>
          <w:rFonts w:ascii="Calibri" w:hAnsi="Calibri" w:cs="Calibri"/>
          <w:sz w:val="20"/>
        </w:rPr>
        <w:footnoteReference w:id="4"/>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5"/>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lastRenderedPageBreak/>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proofErr w:type="gramStart"/>
      <w:r w:rsidRPr="001B317C">
        <w:rPr>
          <w:rFonts w:ascii="Calibri" w:hAnsi="Calibri" w:cs="Calibri"/>
          <w:sz w:val="20"/>
          <w:szCs w:val="20"/>
          <w:lang w:val="af-ZA"/>
        </w:rPr>
        <w:t>::</w:t>
      </w:r>
      <w:proofErr w:type="gramEnd"/>
    </w:p>
    <w:p w:rsidR="007663BC" w:rsidRPr="00222901"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23/1</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23/1</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9D686E" w:rsidRPr="009D686E">
        <w:rPr>
          <w:rFonts w:ascii="Calibri" w:hAnsi="Calibri" w:cs="Calibri"/>
          <w:sz w:val="20"/>
          <w:szCs w:val="20"/>
          <w:lang w:val="es-ES"/>
        </w:rPr>
        <w:t>«---ԷԱՃԱՊՁԲ---/---»*</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6"/>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31"/>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lastRenderedPageBreak/>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5A2A92"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31"/>
        <w:spacing w:line="240" w:lineRule="auto"/>
        <w:jc w:val="right"/>
        <w:rPr>
          <w:rFonts w:ascii="GHEA Grapalat" w:hAnsi="GHEA Grapalat" w:cs="Arial"/>
          <w:b/>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firstLine="360"/>
        <w:rPr>
          <w:rFonts w:ascii="GHEA Grapalat" w:hAnsi="GHEA Grapalat" w:cs="Sylfaen"/>
          <w:i/>
          <w:sz w:val="16"/>
          <w:szCs w:val="16"/>
          <w:lang w:val="hy-AM" w:eastAsia="ru-RU"/>
        </w:rPr>
      </w:pPr>
    </w:p>
    <w:p w:rsidR="0031092A" w:rsidRPr="00972FF2" w:rsidRDefault="0031092A" w:rsidP="0031092A">
      <w:pPr>
        <w:pStyle w:val="31"/>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31092A" w:rsidRPr="00972FF2" w:rsidRDefault="0031092A" w:rsidP="0031092A">
      <w:pPr>
        <w:pStyle w:val="31"/>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31092A" w:rsidRPr="00972FF2" w:rsidRDefault="0031092A" w:rsidP="0031092A">
      <w:pPr>
        <w:pStyle w:val="31"/>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31092A" w:rsidRPr="00972FF2" w:rsidRDefault="0031092A" w:rsidP="0031092A">
      <w:pPr>
        <w:pStyle w:val="31"/>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31092A" w:rsidRPr="00972FF2" w:rsidRDefault="0031092A" w:rsidP="0031092A">
      <w:pPr>
        <w:pStyle w:val="31"/>
        <w:spacing w:line="240" w:lineRule="auto"/>
        <w:ind w:left="360" w:firstLine="0"/>
        <w:rPr>
          <w:rFonts w:ascii="GHEA Grapalat" w:hAnsi="GHEA Grapalat"/>
          <w:i/>
          <w:sz w:val="16"/>
          <w:szCs w:val="16"/>
          <w:lang w:val="hy-AM"/>
        </w:rPr>
      </w:pPr>
    </w:p>
    <w:p w:rsidR="0031092A" w:rsidRPr="00972FF2" w:rsidRDefault="0031092A" w:rsidP="0031092A">
      <w:pPr>
        <w:pStyle w:val="31"/>
        <w:spacing w:line="240" w:lineRule="auto"/>
        <w:ind w:left="360" w:firstLine="0"/>
        <w:rPr>
          <w:rFonts w:ascii="GHEA Grapalat" w:hAnsi="GHEA Grapalat"/>
          <w:i/>
          <w:sz w:val="16"/>
          <w:szCs w:val="16"/>
          <w:lang w:val="hy-AM"/>
        </w:rPr>
      </w:pPr>
    </w:p>
    <w:p w:rsidR="0031092A" w:rsidRDefault="0031092A" w:rsidP="0031092A">
      <w:pPr>
        <w:pStyle w:val="31"/>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1092A" w:rsidRPr="00A1687B" w:rsidRDefault="0031092A" w:rsidP="0031092A">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31"/>
        <w:spacing w:line="240" w:lineRule="auto"/>
        <w:jc w:val="right"/>
        <w:rPr>
          <w:rFonts w:ascii="Calibri" w:hAnsi="Calibri" w:cs="Calibri"/>
          <w:b/>
          <w:lang w:val="hy-AM"/>
        </w:rPr>
      </w:pPr>
    </w:p>
    <w:p w:rsidR="0031092A" w:rsidRDefault="0031092A" w:rsidP="001557AE">
      <w:pPr>
        <w:pStyle w:val="31"/>
        <w:spacing w:line="240" w:lineRule="auto"/>
        <w:jc w:val="right"/>
        <w:rPr>
          <w:rFonts w:ascii="Calibri" w:hAnsi="Calibri" w:cs="Calibri"/>
          <w:b/>
          <w:lang w:val="hy-AM"/>
        </w:rPr>
      </w:pPr>
    </w:p>
    <w:p w:rsidR="00B2572B" w:rsidRPr="00857ECA" w:rsidRDefault="000446B4" w:rsidP="001557AE">
      <w:pPr>
        <w:pStyle w:val="31"/>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31"/>
        <w:spacing w:line="240" w:lineRule="auto"/>
        <w:jc w:val="right"/>
        <w:rPr>
          <w:rFonts w:ascii="Calibri" w:hAnsi="Calibri" w:cs="Calibri"/>
          <w:b/>
          <w:lang w:val="hy-AM"/>
        </w:rPr>
      </w:pPr>
    </w:p>
    <w:p w:rsidR="001557AE" w:rsidRPr="00857ECA" w:rsidRDefault="003D6B27"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003D6B27" w:rsidRPr="003D6B27">
        <w:rPr>
          <w:rStyle w:val="af5"/>
          <w:rFonts w:ascii="Calibri" w:hAnsi="Calibri" w:cs="Calibri"/>
          <w:b w:val="0"/>
          <w:bCs w:val="0"/>
          <w:sz w:val="20"/>
          <w:szCs w:val="20"/>
          <w:lang w:val="hy-AM"/>
        </w:rPr>
        <w:t/>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5B2DCD" w:rsidRPr="005B2DCD">
        <w:rPr>
          <w:rStyle w:val="af5"/>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p>
    <w:p w:rsidR="006A0F27" w:rsidRPr="00857ECA" w:rsidRDefault="0033378B"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007154FC" w:rsidRPr="00857ECA">
        <w:rPr>
          <w:rStyle w:val="af5"/>
          <w:rFonts w:ascii="Calibri" w:hAnsi="Calibri" w:cs="Calibri"/>
          <w:b w:val="0"/>
          <w:bCs w:val="0"/>
          <w:sz w:val="20"/>
          <w:szCs w:val="20"/>
          <w:lang w:val="hy-AM"/>
        </w:rPr>
        <w:t xml:space="preserve"> </w:t>
      </w:r>
    </w:p>
    <w:p w:rsidR="009E1525" w:rsidRPr="00857ECA" w:rsidRDefault="00254A40"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r w:rsidR="00337C56" w:rsidRPr="00337C56">
        <w:rPr>
          <w:rStyle w:val="af5"/>
          <w:rFonts w:ascii="Calibri" w:hAnsi="Calibri" w:cs="Calibri"/>
          <w:b w:val="0"/>
          <w:bCs w:val="0"/>
          <w:sz w:val="20"/>
          <w:szCs w:val="20"/>
          <w:lang w:val="hy-AM"/>
        </w:rPr>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00244642"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r w:rsidR="007042B4" w:rsidRPr="007042B4">
        <w:rPr>
          <w:rStyle w:val="af5"/>
          <w:rFonts w:ascii="Calibri" w:hAnsi="Calibri" w:cs="Calibri"/>
          <w:b w:val="0"/>
          <w:bCs w:val="0"/>
          <w:sz w:val="20"/>
          <w:szCs w:val="20"/>
          <w:lang w:val="hy-AM"/>
        </w:rPr>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31"/>
        <w:spacing w:line="240" w:lineRule="auto"/>
        <w:jc w:val="center"/>
        <w:rPr>
          <w:rFonts w:ascii="Calibri" w:hAnsi="Calibri" w:cs="Calibri"/>
          <w:b/>
          <w:lang w:val="hy-AM"/>
        </w:rPr>
      </w:pPr>
    </w:p>
    <w:bookmarkEnd w:id="8"/>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1C5CA8" w:rsidP="00821A83">
      <w:pPr>
        <w:pStyle w:val="af2"/>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ԱՄՎՀ ԷԱՃԱՊՁԲ 23/1»*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23/1*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ԱՄՎՀ ԷԱՃԱՊՁԲ 23/1»*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23/1*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31"/>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31"/>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A10015"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C45CB" w:rsidRPr="007C45CB" w:rsidRDefault="00671DCA" w:rsidP="007C45CB">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a9"/>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31"/>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__</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30197622/1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ֆորմատի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А4 ֆորմատի։ Թուղթ առնվազն A դասի։ Թուղթ սպառողական ձևաչափերի, ոչ կավճապատ։ Նախատեսված է գրելու, տպագրելու, գրասենյակային աշխատանքների համար։ Չափերը՝ 210*297 մմ, սպիտակությունը ոչ պակաս քան 90 %, խտությունը 80 գ/մ2։ Փաթեթավորված ֆիրմային թղթափաթեթով կամ տուփերով, յուրաքանչյուրում 500 թերթ, փաթեթի քաշը՝ 2,5 կգ։ Double A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արագակար, թղթյա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կավճած ստվարաթղթից, մետաղական ամրակով, A4 (210x297) մմ ձևաչափի թերթերի համար։ «Արագակար» Հայկական /պարտադիր/։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թելով, թղթյա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Ստվարաթղթից կազմեր երկարատև պահման գործերի համար, Բ (Б) տիպի, թելակապերով, ստվարաթղթի խտությունը` առնվազն 1,15 գ/սմ3, հաստությունը 0,3-ից մինչև 1,5 մմ, ԳՕՍՏ 17914-72 կամ համարժեք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ստվարաթղթե կազմով, համապատասխան չափի կռնակով (ծավալով), հաստությունը առնվազն 8 սմ, մետաղյա ամրացման հարմարանքով, A4 (210x297) մմ ձևաչափի թղթերի համար, գունավոր։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39263200/1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գիրք, մատյան, 70-200էջ, տողանի, սպիտակ էջերով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մատյան, 70 - 90 էջ, տողանի, սպիտակ էջերով, կոշտ կազմով։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պոլիմերային թաղանթ, ֆայլ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պոլիէթիլենային A4 ֆորմատի, առնվազն 70 միկրոն, թափանցիկ, տուփի մեջ 100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Cello TriMate, միջուկի հաստությունը 1.0 մմ, կապույտ։ My-Teeh կամ Cello Tri – Mate 1.0 mm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 НВ, սրած, ռետինե ջնջոցով: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30192125/1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մարկերներ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Ընդգծիչ (մարկեր), ֆետրից կամ այլ ծակոտկեն նյութից պատրաստված, ծայրոցով, տափակ ծայրով, 5 գույնի, Flamingo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թղթի ամրակներ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մետաղական, 50 մմ (մեծ չափի), տուփի մեջ 100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թղթի ամրակներ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Ամրակ մետաղական, 28 մմ, տուփի մեջ 100 հատ։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20-50 թերթի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Միջին, կարիչ գրասենյակային՝ 25-50 էջ կարելու համար։ Օգտագործվող ասեղների քանակը՝ 100, ասեղի համարը 24/6, 26/6, KANGARO HD 45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մինչ― 20 թերթի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Փոքր, կարիչ գրասենյակային՝ մինչև 25 էջ կարելու համար։ Օգտագործվող ասեղների քանակը՝ 100, ասեղի համարը 24/6, 26/6, KANGARO HD 45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մեծ, Գրասենյակային կարիչների մետաղալարե կապեր բլոկներով`ասեղ 23/6/8/10/13 չափերի: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փոքր, Գրասենյակային կարիչների մետաղալարե կապեր բլոկներով` 10 մմ/6 մմ: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սոսնձամատիտ,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Չոր սոսինձ` գրասենյակային (սոսնձամատիտ), թուղթ սոսնձելու համար, առնվազն 22 գր, Fanstastick կամ համարժեք։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սոսնձվածքով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Թերթիկներ նշումների համար, կպչուն, 76 x 76մմ, 100 թերթ, դեղին: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30192930/1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ուղղիչ գրիչներ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Շտրիխ, սպիտակ, գրիչ, առնվազն 7 մլ, շուտ չորացող, Տեսքը ըստ նկարի կամ համանման։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937,5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937,5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30197622/1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ֆորմատի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արագակար, թղթյա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թելով, թղթյա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39263200/1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գիրք, մատյան, 70-200էջ, տողանի, սպիտակ էջերով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պոլիմերային թաղանթ, ֆայլ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30192125/1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մարկերներ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թղթի ամրակներ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թղթի ամրակներ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20-50 թերթի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մինչ― 20 թերթի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սոսնձամատիտ,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սոսնձվածքով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30192930/1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ուղղիչ գրիչներ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5A2A92" w:rsidP="007A2020">
            <w:pPr>
              <w:jc w:val="center"/>
              <w:rPr>
                <w:rFonts w:ascii="Calibri" w:hAnsi="Calibri" w:cs="Calibri"/>
                <w:iCs/>
                <w:color w:val="000000"/>
                <w:sz w:val="21"/>
                <w:szCs w:val="21"/>
                <w:lang w:val="pt-BR"/>
              </w:rPr>
            </w:pPr>
            <w:r w:rsidRPr="005A2A92">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proofErr w:type="gramStart"/>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proofErr w:type="gramEnd"/>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w:t>
      </w:r>
      <w:proofErr w:type="gramStart"/>
      <w:r w:rsidRPr="00857ECA">
        <w:rPr>
          <w:rFonts w:ascii="Calibri" w:hAnsi="Calibri" w:cs="Calibri"/>
          <w:iCs/>
          <w:snapToGrid w:val="0"/>
          <w:color w:val="000000"/>
          <w:sz w:val="21"/>
          <w:szCs w:val="21"/>
          <w:lang w:val="es-ES"/>
        </w:rPr>
        <w:t xml:space="preserve">կողմը  </w:t>
      </w:r>
      <w:r w:rsidRPr="00857ECA">
        <w:rPr>
          <w:rFonts w:ascii="Calibri" w:hAnsi="Calibri" w:cs="Calibri"/>
          <w:iCs/>
          <w:color w:val="000000"/>
          <w:sz w:val="21"/>
          <w:szCs w:val="21"/>
        </w:rPr>
        <w:t>մատակարարել</w:t>
      </w:r>
      <w:proofErr w:type="gramEnd"/>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proofErr w:type="gramStart"/>
      <w:r w:rsidRPr="00857ECA">
        <w:rPr>
          <w:rFonts w:ascii="Calibri" w:hAnsi="Calibri" w:cs="Calibri"/>
          <w:bCs/>
          <w:sz w:val="18"/>
          <w:szCs w:val="18"/>
        </w:rPr>
        <w:t>պայմանագրի</w:t>
      </w:r>
      <w:proofErr w:type="gramEnd"/>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w:t>
      </w:r>
      <w:proofErr w:type="gramStart"/>
      <w:r w:rsidRPr="00857ECA">
        <w:rPr>
          <w:rFonts w:ascii="Calibri" w:hAnsi="Calibri" w:cs="Calibri"/>
          <w:sz w:val="20"/>
          <w:szCs w:val="20"/>
          <w:lang w:eastAsia="ru-RU"/>
        </w:rPr>
        <w:t>հայտը</w:t>
      </w:r>
      <w:proofErr w:type="gramEnd"/>
      <w:r w:rsidRPr="00857ECA">
        <w:rPr>
          <w:rFonts w:ascii="Calibri" w:hAnsi="Calibri" w:cs="Calibri"/>
          <w:sz w:val="20"/>
          <w:szCs w:val="20"/>
          <w:lang w:eastAsia="ru-RU"/>
        </w:rPr>
        <w:t xml:space="preserve">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14" w:rsidRDefault="00484714">
      <w:r>
        <w:separator/>
      </w:r>
    </w:p>
  </w:endnote>
  <w:endnote w:type="continuationSeparator" w:id="0">
    <w:p w:rsidR="00484714" w:rsidRDefault="0048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14" w:rsidRDefault="00484714">
      <w:r>
        <w:separator/>
      </w:r>
    </w:p>
  </w:footnote>
  <w:footnote w:type="continuationSeparator" w:id="0">
    <w:p w:rsidR="00484714" w:rsidRDefault="00484714">
      <w:r>
        <w:continuationSeparator/>
      </w:r>
    </w:p>
  </w:footnote>
  <w:footnote w:id="1">
    <w:p w:rsidR="000C4B51" w:rsidRPr="00367505" w:rsidRDefault="000C4B51" w:rsidP="006C1D25">
      <w:pPr>
        <w:pStyle w:val="af2"/>
        <w:jc w:val="both"/>
        <w:rPr>
          <w:rFonts w:ascii="Calibri" w:hAnsi="Calibri" w:cs="Calibri"/>
          <w:i/>
          <w:sz w:val="16"/>
          <w:szCs w:val="16"/>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93036" w:rsidRPr="00893036" w:rsidRDefault="00893036" w:rsidP="00893036">
      <w:pPr>
        <w:pStyle w:val="af2"/>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93036" w:rsidRPr="00893036" w:rsidRDefault="00893036" w:rsidP="00893036">
      <w:pPr>
        <w:pStyle w:val="af2"/>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0C4B51" w:rsidRPr="00367505" w:rsidRDefault="000C4B51" w:rsidP="006C1D25">
      <w:pPr>
        <w:pStyle w:val="af2"/>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2">
    <w:p w:rsidR="000C4B51" w:rsidRDefault="000C4B51" w:rsidP="003850A0">
      <w:pPr>
        <w:pStyle w:val="af2"/>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0C4B51" w:rsidRPr="00BC34FD" w:rsidRDefault="000C4B51" w:rsidP="003850A0">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3">
    <w:p w:rsidR="000C4B51" w:rsidRPr="002833EF" w:rsidRDefault="000C4B51" w:rsidP="002833EF">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0C4B51" w:rsidRDefault="000C4B51" w:rsidP="002833EF">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0C4B51" w:rsidRPr="00BC34FD" w:rsidRDefault="000C4B51" w:rsidP="002833EF">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«երկու հարյուր յոթանասուն օրացուցային օր» բառերով:</w:t>
      </w:r>
    </w:p>
  </w:footnote>
  <w:footnote w:id="4">
    <w:p w:rsidR="000C4B51" w:rsidRPr="002833EF" w:rsidRDefault="000C4B51" w:rsidP="00701750">
      <w:pPr>
        <w:pStyle w:val="af2"/>
        <w:rPr>
          <w:rFonts w:asciiTheme="minorHAnsi" w:hAnsiTheme="minorHAnsi" w:cstheme="minorHAnsi"/>
          <w:i/>
          <w:sz w:val="16"/>
          <w:szCs w:val="16"/>
          <w:lang w:val="af-ZA"/>
        </w:rPr>
      </w:pPr>
    </w:p>
  </w:footnote>
  <w:footnote w:id="5">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C4B51" w:rsidRPr="007F2726"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6">
    <w:p w:rsidR="000C4B51" w:rsidRPr="007F2726" w:rsidRDefault="000C4B51"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A2A92">
        <w:fldChar w:fldCharType="begin"/>
      </w:r>
      <w:r w:rsidR="005A2A92" w:rsidRPr="009D686E">
        <w:rPr>
          <w:lang w:val="hy-AM"/>
        </w:rPr>
        <w:instrText>HYPERLINK "https://ru.wikipedia.org/wiki/Standard_%26_Poor%E2%80%99s" \t "_blank"</w:instrText>
      </w:r>
      <w:r w:rsidR="005A2A92">
        <w:fldChar w:fldCharType="separate"/>
      </w:r>
      <w:r w:rsidRPr="007F2726">
        <w:rPr>
          <w:rStyle w:val="a9"/>
          <w:rFonts w:ascii="Calibri" w:hAnsi="Calibri"/>
          <w:color w:val="auto"/>
          <w:sz w:val="16"/>
          <w:szCs w:val="16"/>
          <w:u w:val="none"/>
          <w:lang w:val="hy-AM"/>
        </w:rPr>
        <w:t>Standard &amp; Poor’s</w:t>
      </w:r>
      <w:r w:rsidR="005A2A92">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10064</TotalTime>
  <Pages>52</Pages>
  <Words>16991</Words>
  <Characters>96851</Characters>
  <Application>Microsoft Office Word</Application>
  <DocSecurity>0</DocSecurity>
  <Lines>807</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113615</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Inessa Karapetyan</cp:lastModifiedBy>
  <cp:revision>679</cp:revision>
  <cp:lastPrinted>2018-02-16T07:12:00Z</cp:lastPrinted>
  <dcterms:created xsi:type="dcterms:W3CDTF">2020-06-03T14:33:00Z</dcterms:created>
  <dcterms:modified xsi:type="dcterms:W3CDTF">2022-12-05T11:45:00Z</dcterms:modified>
</cp:coreProperties>
</file>