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2023.12.11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24/2</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ավտոմեքենաների վառելիքի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11:00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11:00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fingnum@mail.ru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24/2</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2023.12.11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ավտոմեքենաների վառելիքի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ավտոմեքենաների վառելիքի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24/2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fingnum@mail.ru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ավտոմեքենաների վառելիքի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2</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2340000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11:00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2023.12.22. 11:00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24/2</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24/2</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ԱՄՎՀ ԷԱՃԱՊՁԲ 24/2</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24/2»*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24/2*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24/2»*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24/2*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ԱՎՏՈՄԵՔԵՆԱՆԵՐԻ ՎԱՌԵԼԻՔԻ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__</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09411710/6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Գազ, որը օգտագործվում է որպես շարժիչների վառելիք բենզինի փոխարեն: Մշակվում է կոմպրեսորային սարքավորումների մեջ բնական գազի խտացման ճանապարհով: Հիմնական բաղադրիչ` մեթան։ Գազի լիցքավորման կայանը պետք է տեղակայված լինի Էջմիածին քաղաքի մոտակայքում: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150 C ջերմաստիճանում` 720-ից մինչև 775 կգ/մ3 ,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Մատակարարումը` կտրոնային, Լիցքավորման կայանը պետք է գտնվի Էջմիածին համայնքի տարածքում։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09411710/6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09132200/6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բենզին, ռեգուլյար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